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选题方向</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（一）重点课题</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1.高校共青团科学开展习近平总书记关于青年工作的重要思想宣传教育的路径载体和长效机制研究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2.学校共青团强化思想政治引领、主动融入“大思政”格局的内涵和路径研究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3.高校党建带团建创新方法及实现路径研究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4.学校团学组织全面推进从严治团、从严治会路径研究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5.高校共青团助力“秦创原”创新驱动平台建设路径研究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6.加强和改进中学共青团工作策略研究</w:t>
      </w:r>
    </w:p>
    <w:p>
      <w:pPr>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（二）一般课题</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1.学校共青团思想政治引领的内容供给研究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2.高校“青年马克思主义者培养工程”质量提升策略研究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3.全媒体背景下大学生思想行为特点及其引导策略研究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4.网络思政视域下高校团属新媒体发展策略研究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5.基层社会治理创新背景下共青团区校共建实践路径和机制研究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6.高校共青团基层组织活力提升对策研究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7.破除基层团建“中梗阻”有效路径研究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8.新时代高校共青团助力乡村振兴行动路径研究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9.高校共青团促进大学生创新创业工作质量提升策略研究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10.提升“三下乡”“返家乡”等社会实践活动育人成效的策略研究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11.提升高校共青团“第二课堂成绩单”制度育人成效策略研究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12.加强学校团干部队伍建设的路径研究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13.加强中学团员教育和先进性建设研究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14.加强中学团校建设有效策略研究</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15.市、县两级教育团工委工作机制研究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8"/>
          <w:szCs w:val="28"/>
        </w:rPr>
      </w:pPr>
      <w:r>
        <w:rPr>
          <w:rFonts w:hint="eastAsia" w:ascii="仿宋" w:hAnsi="仿宋" w:eastAsia="仿宋" w:cs="Times New Roman"/>
          <w:sz w:val="32"/>
          <w:szCs w:val="32"/>
        </w:rPr>
        <w:t>16.教育“双减”政策背景下中学共青团应对策略研究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C28FA"/>
    <w:rsid w:val="5BC55E8E"/>
    <w:rsid w:val="6816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2021-09-07T07:38:00Z</dcterms:created>
  <dc:creator>Administrator</dc:creator>
  <cp:lastModifiedBy>1</cp:lastModifiedBy>
  <dcterms:modified xsi:type="dcterms:W3CDTF">2021-10-13T07:21:28Z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FDF35B8440D04C5595B518357C560858</vt:lpwstr>
  </property>
</Properties>
</file>