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0" w:right="120" w:firstLine="723" w:firstLineChars="200"/>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重点课题研究内容</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0" w:right="12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1.</w:t>
      </w:r>
      <w:r>
        <w:rPr>
          <w:rFonts w:hint="eastAsia" w:ascii="宋体" w:hAnsi="宋体" w:eastAsia="宋体" w:cs="宋体"/>
          <w:b/>
          <w:bCs/>
          <w:sz w:val="28"/>
          <w:szCs w:val="28"/>
        </w:rPr>
        <w:t>新形势下生态环境保护督察干部队伍建设问题研究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0" w:right="12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总体要求及选题方向：围绕深入打好全省污染防治攻坚战，聚焦当前全省生态环境保护督察干部队伍建设存在的短板和问题，突出干部“选、用、育、考”等关键环节，运用书面调研与实地调研相结合的方式，采取座谈了解、个别访谈、数据统计、综合分析等方法进行专题调研，系统梳理存在的突出问题，有针对性地提出对策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0" w:right="12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我省深入打好污染防治攻坚战问题与对策研究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0" w:right="12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总体要求及选题方向：通过对我省当前污染防治攻坚战面临的突出问题分析研究，有针对性的研究提出“十四五”期间我省深入打好污染防治攻坚战的总体思路、主要任务、保障措施等。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0" w:right="12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构建我省生态环境执法体系研究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0" w:right="12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总体要求及选题方向：2018年12月，中共中央办公厅国务院办公厅印发《关于生态环境保护综合执法改革的指导意见》（中办发〔2018〕64号），提出要形成职责明确、边界清晰、行为规范、保障有力、运转高效、充满活力的生态环境执法体系。目前我省存在执法人员结构不优、法律素养不高、环境污染问题发现和及时处置能力不足、机制运转不顺畅等短板和问题，制约了执法效能的发挥。结合我省生态环境综合行政执法改革进展和生态环境行政执法体系建设情况，以及“十四五”生态环境执法工作的总体要求，围绕明确执法职责、优化执法方式、规范执法手段、完善执法机制等方面开展研究，力争满足新要求、适应新形势、解决老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0" w:right="12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我省生态环境损害赔偿制度改革问题研究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0" w:right="12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总体要求及选题方向：围绕全省生态环境损害赔偿改革工作中存在的主要问题，研究解决各相关职能部门沟通、协商、配合机制，加大与公检法联合办案力度，大力提高案件办理效率与质量。总体提升依法办理生态环境损害赔偿案件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0" w:right="12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5.</w:t>
      </w:r>
      <w:r>
        <w:rPr>
          <w:rFonts w:hint="eastAsia" w:ascii="宋体" w:hAnsi="宋体" w:eastAsia="宋体" w:cs="宋体"/>
          <w:b/>
          <w:bCs/>
          <w:sz w:val="28"/>
          <w:szCs w:val="28"/>
        </w:rPr>
        <w:t>建立建全全省环境风险隐患排查动态清单机制研究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0" w:right="12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总体要求及选题方向：当前，生态环境安全隐患排查不全面，不彻底，突发环境事件高发频发的总体趋势依然没有得到根本扭转，建立全省环境风险隐患排查动态机制能够有效降低突发环境事件发生概率，及时掌握环境风险隐患点位并因地制宜实施整改；按照重点领域、重点行业实施环境风险隐患排查工作，施行月调度制度，明确整改完成时限，整改责任主体，实现环境风险隐患排查动态销号闭环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0" w:right="12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我省黄河流域生态环境保护与高质量发展问题识别与对策研究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0" w:right="12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总体要求及选题方向：全面掌握黄河流域自然环境与社会经济发展现状，聚焦我省黄河流域水资源利用、水污染治理、水风险防控、水生态安全等关键问题，探索研究生态环境保护促进高质量发展的方法路径，提出我省黄河流域生态环境保护的重点任务、配套政策和保障措施。1.黄河流域生态环境保护问题识别；2.黄河流域生态保护和高质量发展机制探讨；3.黄河流域生态保护和高质量发展路径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0" w:right="12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7.</w:t>
      </w:r>
      <w:r>
        <w:rPr>
          <w:rFonts w:hint="eastAsia" w:ascii="宋体" w:hAnsi="宋体" w:eastAsia="宋体" w:cs="宋体"/>
          <w:b/>
          <w:bCs/>
          <w:sz w:val="28"/>
          <w:szCs w:val="28"/>
        </w:rPr>
        <w:t>南水北调中线工程水源区生态补偿机制研究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0" w:right="12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总体要求及选题方向：完善生态补偿政策，明确中线工程受水区生态补偿的义务和水源区保护生态环境的责任，在对水质不达标的市县扣缴生态补偿资金的同时，对为保护水质做出巨大牺牲、经济欠发达、生态系统较脆弱且水质稳定达标的市县给予生态补偿和奖励，解决水源区生态环境保护资金不足等问题。针对水源区因水源保护造成的发展受限、财政减收等实际情况，建立生态保护补偿的正常机制，通过完善生态补偿机制，促进水源区生态环境保护工作的推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0" w:right="12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8.</w:t>
      </w:r>
      <w:r>
        <w:rPr>
          <w:rFonts w:hint="eastAsia" w:ascii="宋体" w:hAnsi="宋体" w:eastAsia="宋体" w:cs="宋体"/>
          <w:b/>
          <w:bCs/>
          <w:sz w:val="28"/>
          <w:szCs w:val="28"/>
        </w:rPr>
        <w:t>秦岭区域生态补偿机制研究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0" w:right="12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总体要求及选题方向：根据国务院办公厅《关于健全生态保护补偿机制的意见》等有关政策要求，探索提出实现秦岭区域生态环境保护的生态补偿机制。围绕秦岭区域生态环境保护突出问题，建立生态补偿机制，推动生态环境保护工作。秦岭区域如金属矿区生态补偿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0" w:right="120"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上述课题不得自拟题目。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633238"/>
    <w:rsid w:val="7D580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2021-09-06T10:04:00Z</dcterms:created>
  <dc:creator>Administrator</dc:creator>
  <cp:lastModifiedBy>1</cp:lastModifiedBy>
  <dcterms:modified xsi:type="dcterms:W3CDTF">2021-09-07T06:56:46Z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DC97969AB07544C281DE0DDA0565697D</vt:lpwstr>
  </property>
</Properties>
</file>